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043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 xml:space="preserve">l’EFACF d’Heusy </w:t>
      </w:r>
      <w:r>
        <w:rPr>
          <w:sz w:val="22"/>
        </w:rPr>
        <w:t>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l’EFACF d’Heusy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l’EFACF d’Heusy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2022 043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 w:cryptProviderType="rsaAES" w:cryptAlgorithmClass="hash" w:cryptAlgorithmType="typeAny" w:cryptAlgorithmSid="14" w:cryptSpinCount="100000" w:hash="mMUKKDcgwYYK+nr7uzSmKSFU/pBQ2vi2JSRjtfxHvXZIgiENXFtHDPzTTDP50j/erVwu0z5aGwR31dmdfauYRw==" w:salt="ezc2obiAf5y9H0O9S8gpRw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12BB4-2C20-4986-9A5A-DAC87A9F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1050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2022-03-17T10:21:00Z</dcterms:created>
  <dcterms:modified xsi:type="dcterms:W3CDTF">2022-03-17T10:21:00Z</dcterms:modified>
</cp:coreProperties>
</file>